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DD8FE" w14:textId="66DDA653" w:rsidR="00F94F4D" w:rsidRPr="00160569" w:rsidRDefault="00A377FC" w:rsidP="000B308D">
      <w:pPr>
        <w:spacing w:after="0" w:line="240" w:lineRule="auto"/>
        <w:rPr>
          <w:rFonts w:ascii="Times New Roman" w:hAnsi="Times New Roman" w:cs="Times New Roman"/>
          <w:b/>
          <w:bCs/>
          <w:sz w:val="24"/>
          <w:szCs w:val="24"/>
          <w:lang w:val="en-GB"/>
        </w:rPr>
      </w:pPr>
      <w:r>
        <w:rPr>
          <w:rFonts w:ascii="Times New Roman" w:hAnsi="Times New Roman" w:cs="Times New Roman"/>
          <w:b/>
          <w:bCs/>
          <w:sz w:val="28"/>
          <w:szCs w:val="28"/>
          <w:lang w:val="en-GB"/>
        </w:rPr>
        <w:t>Title of the Manuscript</w:t>
      </w:r>
    </w:p>
    <w:p w14:paraId="3C9A6483" w14:textId="7FD29396" w:rsidR="00F94F4D" w:rsidRPr="00160569" w:rsidRDefault="00F65C2D" w:rsidP="000B308D">
      <w:pPr>
        <w:spacing w:before="240" w:after="240" w:line="360" w:lineRule="auto"/>
        <w:rPr>
          <w:rFonts w:ascii="Times New Roman" w:hAnsi="Times New Roman" w:cs="Times New Roman"/>
          <w:sz w:val="24"/>
          <w:szCs w:val="24"/>
        </w:rPr>
      </w:pPr>
      <w:r>
        <w:rPr>
          <w:rFonts w:ascii="Times New Roman" w:hAnsi="Times New Roman" w:cs="Times New Roman"/>
          <w:sz w:val="24"/>
          <w:szCs w:val="24"/>
          <w:lang w:val="en-GB"/>
        </w:rPr>
        <w:t xml:space="preserve">First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1</w:t>
      </w:r>
      <w:r w:rsidR="00B36C8B" w:rsidRPr="00160569">
        <w:rPr>
          <w:rFonts w:ascii="Times New Roman" w:hAnsi="Times New Roman" w:cs="Times New Roman"/>
          <w:sz w:val="24"/>
          <w:szCs w:val="24"/>
        </w:rPr>
        <w:t>,</w:t>
      </w:r>
      <w:r w:rsidR="00F94F4D" w:rsidRPr="00160569">
        <w:rPr>
          <w:rFonts w:ascii="Times New Roman" w:hAnsi="Times New Roman" w:cs="Times New Roman"/>
          <w:sz w:val="24"/>
          <w:szCs w:val="24"/>
        </w:rPr>
        <w:t xml:space="preserve"> </w:t>
      </w:r>
      <w:r>
        <w:rPr>
          <w:rFonts w:ascii="Times New Roman" w:hAnsi="Times New Roman" w:cs="Times New Roman"/>
          <w:sz w:val="24"/>
          <w:szCs w:val="24"/>
        </w:rPr>
        <w:t>Second</w:t>
      </w:r>
      <w:r w:rsidR="00A377FC">
        <w:rPr>
          <w:rFonts w:ascii="Times New Roman" w:hAnsi="Times New Roman" w:cs="Times New Roman"/>
          <w:sz w:val="24"/>
          <w:szCs w:val="24"/>
        </w:rPr>
        <w:t xml:space="preserve">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2*</w:t>
      </w:r>
      <w:r w:rsidR="00F94F4D" w:rsidRPr="00160569">
        <w:rPr>
          <w:rFonts w:ascii="Times New Roman" w:hAnsi="Times New Roman" w:cs="Times New Roman"/>
          <w:sz w:val="24"/>
          <w:szCs w:val="24"/>
        </w:rPr>
        <w:t xml:space="preserve"> </w:t>
      </w:r>
    </w:p>
    <w:p w14:paraId="0A0EC012" w14:textId="1858E067"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1</w:t>
      </w:r>
      <w:r w:rsidR="00A377FC">
        <w:rPr>
          <w:rFonts w:ascii="Times New Roman" w:hAnsi="Times New Roman" w:cs="Times New Roman"/>
          <w:i/>
        </w:rPr>
        <w:t>Name of D</w:t>
      </w:r>
      <w:r w:rsidRPr="00160569">
        <w:rPr>
          <w:rFonts w:ascii="Times New Roman" w:hAnsi="Times New Roman" w:cs="Times New Roman"/>
          <w:i/>
        </w:rPr>
        <w:t>epartment</w:t>
      </w:r>
      <w:r w:rsidR="001F3D40">
        <w:rPr>
          <w:rFonts w:ascii="Times New Roman" w:hAnsi="Times New Roman" w:cs="Times New Roman"/>
          <w:i/>
        </w:rPr>
        <w:t>,</w:t>
      </w:r>
      <w:r w:rsidRPr="00160569">
        <w:rPr>
          <w:rFonts w:ascii="Times New Roman" w:hAnsi="Times New Roman" w:cs="Times New Roman"/>
          <w:i/>
        </w:rPr>
        <w:t xml:space="preserve"> </w:t>
      </w:r>
      <w:r w:rsidR="00A377FC">
        <w:rPr>
          <w:rFonts w:ascii="Times New Roman" w:hAnsi="Times New Roman" w:cs="Times New Roman"/>
          <w:i/>
        </w:rPr>
        <w:t>Name of</w:t>
      </w:r>
      <w:r w:rsidRPr="00160569">
        <w:rPr>
          <w:rFonts w:ascii="Times New Roman" w:hAnsi="Times New Roman" w:cs="Times New Roman"/>
          <w:i/>
        </w:rPr>
        <w:t xml:space="preserve"> University, </w:t>
      </w:r>
      <w:r w:rsidR="00A377FC">
        <w:rPr>
          <w:rFonts w:ascii="Times New Roman" w:hAnsi="Times New Roman" w:cs="Times New Roman"/>
          <w:i/>
        </w:rPr>
        <w:t>City</w:t>
      </w:r>
      <w:r w:rsidRPr="00160569">
        <w:rPr>
          <w:rFonts w:ascii="Times New Roman" w:hAnsi="Times New Roman" w:cs="Times New Roman"/>
          <w:i/>
        </w:rPr>
        <w:t xml:space="preserve">, </w:t>
      </w:r>
      <w:r w:rsidR="00A377FC">
        <w:rPr>
          <w:rFonts w:ascii="Times New Roman" w:hAnsi="Times New Roman" w:cs="Times New Roman"/>
          <w:i/>
        </w:rPr>
        <w:t>Country</w:t>
      </w:r>
    </w:p>
    <w:p w14:paraId="72EB3B24" w14:textId="0BFD7A64"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2</w:t>
      </w:r>
      <w:r w:rsidR="00A377FC" w:rsidRPr="00A377FC">
        <w:rPr>
          <w:rFonts w:ascii="Times New Roman" w:hAnsi="Times New Roman" w:cs="Times New Roman"/>
          <w:i/>
        </w:rPr>
        <w:t xml:space="preserve"> </w:t>
      </w:r>
      <w:r w:rsidR="00A377FC">
        <w:rPr>
          <w:rFonts w:ascii="Times New Roman" w:hAnsi="Times New Roman" w:cs="Times New Roman"/>
          <w:i/>
        </w:rPr>
        <w:t>Name of D</w:t>
      </w:r>
      <w:r w:rsidR="00A377FC" w:rsidRPr="00160569">
        <w:rPr>
          <w:rFonts w:ascii="Times New Roman" w:hAnsi="Times New Roman" w:cs="Times New Roman"/>
          <w:i/>
        </w:rPr>
        <w:t>epartment</w:t>
      </w:r>
      <w:r w:rsidR="001F3D40">
        <w:rPr>
          <w:rFonts w:ascii="Times New Roman" w:hAnsi="Times New Roman" w:cs="Times New Roman"/>
          <w:i/>
        </w:rPr>
        <w:t xml:space="preserve">, </w:t>
      </w:r>
      <w:r w:rsidR="00A377FC">
        <w:rPr>
          <w:rFonts w:ascii="Times New Roman" w:hAnsi="Times New Roman" w:cs="Times New Roman"/>
          <w:i/>
        </w:rPr>
        <w:t>Name of</w:t>
      </w:r>
      <w:r w:rsidR="00A377FC" w:rsidRPr="00160569">
        <w:rPr>
          <w:rFonts w:ascii="Times New Roman" w:hAnsi="Times New Roman" w:cs="Times New Roman"/>
          <w:i/>
        </w:rPr>
        <w:t xml:space="preserve"> University, </w:t>
      </w:r>
      <w:r w:rsidR="00A377FC">
        <w:rPr>
          <w:rFonts w:ascii="Times New Roman" w:hAnsi="Times New Roman" w:cs="Times New Roman"/>
          <w:i/>
        </w:rPr>
        <w:t>City</w:t>
      </w:r>
      <w:r w:rsidR="00A377FC" w:rsidRPr="00160569">
        <w:rPr>
          <w:rFonts w:ascii="Times New Roman" w:hAnsi="Times New Roman" w:cs="Times New Roman"/>
          <w:i/>
        </w:rPr>
        <w:t xml:space="preserve">, </w:t>
      </w:r>
      <w:r w:rsidR="00A377FC">
        <w:rPr>
          <w:rFonts w:ascii="Times New Roman" w:hAnsi="Times New Roman" w:cs="Times New Roman"/>
          <w:i/>
        </w:rPr>
        <w:t>Country</w:t>
      </w:r>
    </w:p>
    <w:p w14:paraId="4548D4A8" w14:textId="67B74473" w:rsidR="00F94F4D" w:rsidRPr="00160569" w:rsidRDefault="00F94F4D" w:rsidP="00474583">
      <w:pPr>
        <w:spacing w:after="0" w:line="360" w:lineRule="auto"/>
        <w:rPr>
          <w:rFonts w:ascii="Times New Roman" w:hAnsi="Times New Roman" w:cs="Times New Roman"/>
          <w:i/>
        </w:rPr>
      </w:pPr>
      <w:r w:rsidRPr="00160569">
        <w:rPr>
          <w:rFonts w:ascii="Times New Roman" w:hAnsi="Times New Roman" w:cs="Times New Roman"/>
          <w:i/>
        </w:rPr>
        <w:t xml:space="preserve">*Corresponding author: </w:t>
      </w:r>
      <w:r w:rsidR="00A377FC">
        <w:rPr>
          <w:rFonts w:ascii="Times New Roman" w:hAnsi="Times New Roman" w:cs="Times New Roman"/>
          <w:i/>
        </w:rPr>
        <w:t>email</w:t>
      </w:r>
    </w:p>
    <w:p w14:paraId="1612FF2F" w14:textId="77777777" w:rsidR="00474583" w:rsidRDefault="00474583" w:rsidP="00474583">
      <w:pPr>
        <w:spacing w:after="0" w:line="240" w:lineRule="auto"/>
        <w:jc w:val="both"/>
        <w:rPr>
          <w:rFonts w:ascii="Times New Roman" w:hAnsi="Times New Roman" w:cs="Times New Roman"/>
          <w:sz w:val="24"/>
          <w:szCs w:val="24"/>
        </w:rPr>
      </w:pPr>
    </w:p>
    <w:p w14:paraId="71D472DB" w14:textId="3C696338" w:rsidR="002C0BA6" w:rsidRPr="00DD312E" w:rsidRDefault="00A377FC" w:rsidP="002C0BA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rPr>
        <w:t>(</w:t>
      </w:r>
      <w:r w:rsidRPr="00A377FC">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794BB0">
        <w:rPr>
          <w:rFonts w:ascii="Times New Roman" w:hAnsi="Times New Roman" w:cs="Times New Roman"/>
          <w:sz w:val="24"/>
          <w:szCs w:val="24"/>
          <w:lang w:val="el-GR"/>
        </w:rPr>
        <w:t>Α</w:t>
      </w:r>
      <w:r w:rsidR="00794BB0" w:rsidRPr="00160569">
        <w:rPr>
          <w:rFonts w:ascii="Times New Roman" w:hAnsi="Times New Roman" w:cs="Times New Roman"/>
          <w:sz w:val="24"/>
          <w:szCs w:val="24"/>
          <w:lang w:val="en-GB"/>
        </w:rPr>
        <w:t xml:space="preserve"> panel data set of the 28 EU countries, over the period 2000-2018 (material recycling) and 2010-2017 (materials circularity)</w:t>
      </w:r>
      <w:r w:rsidR="00794BB0" w:rsidRPr="00701ACE">
        <w:rPr>
          <w:rFonts w:ascii="Times New Roman" w:hAnsi="Times New Roman" w:cs="Times New Roman"/>
          <w:sz w:val="24"/>
          <w:szCs w:val="24"/>
        </w:rPr>
        <w:t xml:space="preserve"> </w:t>
      </w:r>
      <w:r w:rsidR="00794BB0">
        <w:rPr>
          <w:rFonts w:ascii="Times New Roman" w:hAnsi="Times New Roman" w:cs="Times New Roman"/>
          <w:sz w:val="24"/>
          <w:szCs w:val="24"/>
        </w:rPr>
        <w:t xml:space="preserve">was employed. </w:t>
      </w:r>
      <w:r w:rsidR="002C0BA6" w:rsidRPr="00160569">
        <w:rPr>
          <w:rFonts w:ascii="Times New Roman" w:hAnsi="Times New Roman" w:cs="Times New Roman"/>
          <w:sz w:val="24"/>
          <w:szCs w:val="24"/>
          <w:lang w:val="en-GB"/>
        </w:rPr>
        <w:t>The average rate of circularity within Europe is 8.6% but excluding Netherlands, which is an outlier, the average circularity rate drops to 7.9%</w:t>
      </w:r>
      <w:r w:rsidR="002C0BA6">
        <w:rPr>
          <w:rFonts w:ascii="Times New Roman" w:hAnsi="Times New Roman" w:cs="Times New Roman"/>
          <w:sz w:val="24"/>
          <w:szCs w:val="24"/>
          <w:lang w:val="en-GB"/>
        </w:rPr>
        <w:t xml:space="preserve"> (Table 1)</w:t>
      </w:r>
      <w:r w:rsidR="002C0BA6" w:rsidRPr="00160569">
        <w:rPr>
          <w:rFonts w:ascii="Times New Roman" w:hAnsi="Times New Roman" w:cs="Times New Roman"/>
          <w:sz w:val="24"/>
          <w:szCs w:val="24"/>
          <w:lang w:val="en-GB"/>
        </w:rPr>
        <w:t xml:space="preserve">. </w:t>
      </w:r>
    </w:p>
    <w:p w14:paraId="7E473204" w14:textId="4A90A0F3" w:rsidR="002C0BA6" w:rsidRPr="00DD312E" w:rsidRDefault="002C0BA6" w:rsidP="002C0BA6">
      <w:pPr>
        <w:spacing w:after="120" w:line="240" w:lineRule="auto"/>
        <w:jc w:val="center"/>
        <w:rPr>
          <w:rFonts w:ascii="Times New Roman" w:hAnsi="Times New Roman" w:cs="Times New Roman"/>
          <w:lang w:val="en-GB"/>
        </w:rPr>
      </w:pPr>
      <w:r w:rsidRPr="00110D00">
        <w:rPr>
          <w:rFonts w:ascii="Times New Roman" w:hAnsi="Times New Roman" w:cs="Times New Roman"/>
          <w:b/>
          <w:lang w:val="en-GB"/>
        </w:rPr>
        <w:t>Table 1</w:t>
      </w:r>
      <w:r w:rsidR="00110D00">
        <w:rPr>
          <w:rFonts w:ascii="Times New Roman" w:hAnsi="Times New Roman" w:cs="Times New Roman"/>
          <w:lang w:val="en-GB"/>
        </w:rPr>
        <w:t>.</w:t>
      </w:r>
      <w:r w:rsidRPr="00DD312E">
        <w:rPr>
          <w:rFonts w:ascii="Times New Roman" w:hAnsi="Times New Roman" w:cs="Times New Roman"/>
          <w:lang w:val="en-GB"/>
        </w:rPr>
        <w:t xml:space="preserve"> Average circularity rates for the 28 EU countries</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800"/>
        <w:gridCol w:w="2340"/>
      </w:tblGrid>
      <w:tr w:rsidR="002C0BA6" w:rsidRPr="00DD312E" w14:paraId="7CBAAA43" w14:textId="77777777" w:rsidTr="00045BDF">
        <w:trPr>
          <w:jc w:val="center"/>
        </w:trPr>
        <w:tc>
          <w:tcPr>
            <w:tcW w:w="1350" w:type="dxa"/>
            <w:tcBorders>
              <w:top w:val="single" w:sz="4" w:space="0" w:color="auto"/>
            </w:tcBorders>
            <w:vAlign w:val="center"/>
          </w:tcPr>
          <w:p w14:paraId="0C56CA67"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1710" w:type="dxa"/>
            <w:tcBorders>
              <w:top w:val="single" w:sz="4" w:space="0" w:color="auto"/>
            </w:tcBorders>
            <w:vAlign w:val="center"/>
          </w:tcPr>
          <w:p w14:paraId="789F8A2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c>
          <w:tcPr>
            <w:tcW w:w="1800" w:type="dxa"/>
            <w:tcBorders>
              <w:top w:val="single" w:sz="4" w:space="0" w:color="auto"/>
            </w:tcBorders>
            <w:vAlign w:val="center"/>
          </w:tcPr>
          <w:p w14:paraId="1B834DD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2340" w:type="dxa"/>
            <w:tcBorders>
              <w:top w:val="single" w:sz="4" w:space="0" w:color="auto"/>
            </w:tcBorders>
          </w:tcPr>
          <w:p w14:paraId="174CEA0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r>
      <w:tr w:rsidR="002C0BA6" w:rsidRPr="00DD312E" w14:paraId="7DCEB67E" w14:textId="77777777" w:rsidTr="00045BDF">
        <w:trPr>
          <w:jc w:val="center"/>
        </w:trPr>
        <w:tc>
          <w:tcPr>
            <w:tcW w:w="1350" w:type="dxa"/>
            <w:tcBorders>
              <w:top w:val="single" w:sz="4" w:space="0" w:color="auto"/>
            </w:tcBorders>
            <w:vAlign w:val="center"/>
          </w:tcPr>
          <w:p w14:paraId="2022D47D"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Austria</w:t>
            </w:r>
          </w:p>
        </w:tc>
        <w:tc>
          <w:tcPr>
            <w:tcW w:w="1710" w:type="dxa"/>
            <w:tcBorders>
              <w:top w:val="single" w:sz="4" w:space="0" w:color="auto"/>
            </w:tcBorders>
            <w:vAlign w:val="center"/>
          </w:tcPr>
          <w:p w14:paraId="733E748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9.2%</w:t>
            </w:r>
          </w:p>
        </w:tc>
        <w:tc>
          <w:tcPr>
            <w:tcW w:w="1800" w:type="dxa"/>
            <w:tcBorders>
              <w:top w:val="single" w:sz="4" w:space="0" w:color="auto"/>
            </w:tcBorders>
            <w:vAlign w:val="center"/>
          </w:tcPr>
          <w:p w14:paraId="3E097D4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Italy</w:t>
            </w:r>
          </w:p>
        </w:tc>
        <w:tc>
          <w:tcPr>
            <w:tcW w:w="2340" w:type="dxa"/>
            <w:tcBorders>
              <w:top w:val="single" w:sz="4" w:space="0" w:color="auto"/>
            </w:tcBorders>
            <w:vAlign w:val="center"/>
          </w:tcPr>
          <w:p w14:paraId="0D1871B4"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15.0%</w:t>
            </w:r>
          </w:p>
        </w:tc>
      </w:tr>
      <w:tr w:rsidR="002C0BA6" w:rsidRPr="00DD312E" w14:paraId="10BA06D6" w14:textId="77777777" w:rsidTr="00045BDF">
        <w:trPr>
          <w:jc w:val="center"/>
        </w:trPr>
        <w:tc>
          <w:tcPr>
            <w:tcW w:w="1350" w:type="dxa"/>
            <w:vAlign w:val="center"/>
          </w:tcPr>
          <w:p w14:paraId="7E3BF12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Belgium</w:t>
            </w:r>
          </w:p>
        </w:tc>
        <w:tc>
          <w:tcPr>
            <w:tcW w:w="1710" w:type="dxa"/>
            <w:vAlign w:val="center"/>
          </w:tcPr>
          <w:p w14:paraId="5C9EC52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16.6%</w:t>
            </w:r>
          </w:p>
        </w:tc>
        <w:tc>
          <w:tcPr>
            <w:tcW w:w="1800" w:type="dxa"/>
            <w:vAlign w:val="center"/>
          </w:tcPr>
          <w:p w14:paraId="51FF13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Latvia</w:t>
            </w:r>
          </w:p>
        </w:tc>
        <w:tc>
          <w:tcPr>
            <w:tcW w:w="2340" w:type="dxa"/>
            <w:vAlign w:val="center"/>
          </w:tcPr>
          <w:p w14:paraId="41A5CD1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4.1%</w:t>
            </w:r>
          </w:p>
        </w:tc>
      </w:tr>
      <w:tr w:rsidR="002C0BA6" w:rsidRPr="00DD312E" w14:paraId="3E112E69" w14:textId="77777777" w:rsidTr="00045BDF">
        <w:trPr>
          <w:jc w:val="center"/>
        </w:trPr>
        <w:tc>
          <w:tcPr>
            <w:tcW w:w="1350" w:type="dxa"/>
            <w:vAlign w:val="center"/>
          </w:tcPr>
          <w:p w14:paraId="4BA4EF8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Bulgaria</w:t>
            </w:r>
          </w:p>
        </w:tc>
        <w:tc>
          <w:tcPr>
            <w:tcW w:w="1710" w:type="dxa"/>
            <w:vAlign w:val="center"/>
          </w:tcPr>
          <w:p w14:paraId="1186A35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3.0%</w:t>
            </w:r>
          </w:p>
        </w:tc>
        <w:tc>
          <w:tcPr>
            <w:tcW w:w="1800" w:type="dxa"/>
            <w:vAlign w:val="center"/>
          </w:tcPr>
          <w:p w14:paraId="7535973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Lithuania</w:t>
            </w:r>
          </w:p>
        </w:tc>
        <w:tc>
          <w:tcPr>
            <w:tcW w:w="2340" w:type="dxa"/>
            <w:vAlign w:val="center"/>
          </w:tcPr>
          <w:p w14:paraId="23F661C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4.0%</w:t>
            </w:r>
          </w:p>
        </w:tc>
      </w:tr>
      <w:tr w:rsidR="002C0BA6" w:rsidRPr="00DD312E" w14:paraId="4ECE76A1" w14:textId="77777777" w:rsidTr="00045BDF">
        <w:trPr>
          <w:jc w:val="center"/>
        </w:trPr>
        <w:tc>
          <w:tcPr>
            <w:tcW w:w="1350" w:type="dxa"/>
            <w:vAlign w:val="center"/>
          </w:tcPr>
          <w:p w14:paraId="342E514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Czechia</w:t>
            </w:r>
          </w:p>
        </w:tc>
        <w:tc>
          <w:tcPr>
            <w:tcW w:w="1710" w:type="dxa"/>
            <w:vAlign w:val="center"/>
          </w:tcPr>
          <w:p w14:paraId="6FF1EB0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6.7%</w:t>
            </w:r>
          </w:p>
        </w:tc>
        <w:tc>
          <w:tcPr>
            <w:tcW w:w="1800" w:type="dxa"/>
            <w:vAlign w:val="center"/>
          </w:tcPr>
          <w:p w14:paraId="2ED29FF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Luxemburg</w:t>
            </w:r>
          </w:p>
        </w:tc>
        <w:tc>
          <w:tcPr>
            <w:tcW w:w="2340" w:type="dxa"/>
            <w:vAlign w:val="center"/>
          </w:tcPr>
          <w:p w14:paraId="614FD5E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14.4%</w:t>
            </w:r>
          </w:p>
        </w:tc>
      </w:tr>
      <w:tr w:rsidR="002C0BA6" w:rsidRPr="00DD312E" w14:paraId="74A0C479" w14:textId="77777777" w:rsidTr="00045BDF">
        <w:trPr>
          <w:jc w:val="center"/>
        </w:trPr>
        <w:tc>
          <w:tcPr>
            <w:tcW w:w="1350" w:type="dxa"/>
            <w:vAlign w:val="center"/>
          </w:tcPr>
          <w:p w14:paraId="61A9EBA8"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Croatia</w:t>
            </w:r>
          </w:p>
        </w:tc>
        <w:tc>
          <w:tcPr>
            <w:tcW w:w="1710" w:type="dxa"/>
            <w:vAlign w:val="center"/>
          </w:tcPr>
          <w:p w14:paraId="4EC27ED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3.7%</w:t>
            </w:r>
          </w:p>
        </w:tc>
        <w:tc>
          <w:tcPr>
            <w:tcW w:w="1800" w:type="dxa"/>
            <w:vAlign w:val="center"/>
          </w:tcPr>
          <w:p w14:paraId="1688229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Malta</w:t>
            </w:r>
          </w:p>
        </w:tc>
        <w:tc>
          <w:tcPr>
            <w:tcW w:w="2340" w:type="dxa"/>
            <w:vAlign w:val="center"/>
          </w:tcPr>
          <w:p w14:paraId="7FA4E9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6.6%</w:t>
            </w:r>
          </w:p>
        </w:tc>
      </w:tr>
      <w:tr w:rsidR="002C0BA6" w:rsidRPr="00DD312E" w14:paraId="228C0FFF" w14:textId="77777777" w:rsidTr="00045BDF">
        <w:trPr>
          <w:jc w:val="center"/>
        </w:trPr>
        <w:tc>
          <w:tcPr>
            <w:tcW w:w="1350" w:type="dxa"/>
            <w:vAlign w:val="center"/>
          </w:tcPr>
          <w:p w14:paraId="569E58B5"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Cyprus</w:t>
            </w:r>
          </w:p>
        </w:tc>
        <w:tc>
          <w:tcPr>
            <w:tcW w:w="1710" w:type="dxa"/>
            <w:vAlign w:val="center"/>
          </w:tcPr>
          <w:p w14:paraId="13BDF03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2.2%</w:t>
            </w:r>
          </w:p>
        </w:tc>
        <w:tc>
          <w:tcPr>
            <w:tcW w:w="1800" w:type="dxa"/>
            <w:vAlign w:val="center"/>
          </w:tcPr>
          <w:p w14:paraId="78B6683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Netherlands</w:t>
            </w:r>
          </w:p>
        </w:tc>
        <w:tc>
          <w:tcPr>
            <w:tcW w:w="2340" w:type="dxa"/>
            <w:vAlign w:val="center"/>
          </w:tcPr>
          <w:p w14:paraId="08C9033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26.9%</w:t>
            </w:r>
          </w:p>
        </w:tc>
      </w:tr>
      <w:tr w:rsidR="002C0BA6" w:rsidRPr="00DD312E" w14:paraId="02547975" w14:textId="77777777" w:rsidTr="00045BDF">
        <w:trPr>
          <w:jc w:val="center"/>
        </w:trPr>
        <w:tc>
          <w:tcPr>
            <w:tcW w:w="1350" w:type="dxa"/>
            <w:vAlign w:val="center"/>
          </w:tcPr>
          <w:p w14:paraId="724E6F0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Denmark</w:t>
            </w:r>
          </w:p>
        </w:tc>
        <w:tc>
          <w:tcPr>
            <w:tcW w:w="1710" w:type="dxa"/>
            <w:vAlign w:val="center"/>
          </w:tcPr>
          <w:p w14:paraId="4605F44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7.9%</w:t>
            </w:r>
          </w:p>
        </w:tc>
        <w:tc>
          <w:tcPr>
            <w:tcW w:w="1800" w:type="dxa"/>
            <w:vAlign w:val="center"/>
          </w:tcPr>
          <w:p w14:paraId="6D79ED9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Poland</w:t>
            </w:r>
          </w:p>
        </w:tc>
        <w:tc>
          <w:tcPr>
            <w:tcW w:w="2340" w:type="dxa"/>
            <w:vAlign w:val="center"/>
          </w:tcPr>
          <w:p w14:paraId="799C757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10.8%</w:t>
            </w:r>
          </w:p>
        </w:tc>
      </w:tr>
      <w:tr w:rsidR="002C0BA6" w:rsidRPr="00DD312E" w14:paraId="4948B3F2" w14:textId="77777777" w:rsidTr="00045BDF">
        <w:trPr>
          <w:jc w:val="center"/>
        </w:trPr>
        <w:tc>
          <w:tcPr>
            <w:tcW w:w="1350" w:type="dxa"/>
            <w:vAlign w:val="center"/>
          </w:tcPr>
          <w:p w14:paraId="7DC43BC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Estonia</w:t>
            </w:r>
          </w:p>
        </w:tc>
        <w:tc>
          <w:tcPr>
            <w:tcW w:w="1710" w:type="dxa"/>
            <w:vAlign w:val="center"/>
          </w:tcPr>
          <w:p w14:paraId="6C35CC3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12.4%</w:t>
            </w:r>
          </w:p>
        </w:tc>
        <w:tc>
          <w:tcPr>
            <w:tcW w:w="1800" w:type="dxa"/>
            <w:vAlign w:val="center"/>
          </w:tcPr>
          <w:p w14:paraId="66E8F84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Portugal</w:t>
            </w:r>
          </w:p>
        </w:tc>
        <w:tc>
          <w:tcPr>
            <w:tcW w:w="2340" w:type="dxa"/>
            <w:vAlign w:val="center"/>
          </w:tcPr>
          <w:p w14:paraId="1289BDF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r>
      <w:tr w:rsidR="002C0BA6" w:rsidRPr="00DD312E" w14:paraId="439C182A" w14:textId="77777777" w:rsidTr="00045BDF">
        <w:trPr>
          <w:jc w:val="center"/>
        </w:trPr>
        <w:tc>
          <w:tcPr>
            <w:tcW w:w="1350" w:type="dxa"/>
            <w:vAlign w:val="center"/>
          </w:tcPr>
          <w:p w14:paraId="052C2C40"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Finland</w:t>
            </w:r>
          </w:p>
        </w:tc>
        <w:tc>
          <w:tcPr>
            <w:tcW w:w="1710" w:type="dxa"/>
            <w:vAlign w:val="center"/>
          </w:tcPr>
          <w:p w14:paraId="0AAA44D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9.3%</w:t>
            </w:r>
          </w:p>
        </w:tc>
        <w:tc>
          <w:tcPr>
            <w:tcW w:w="1800" w:type="dxa"/>
            <w:vAlign w:val="center"/>
          </w:tcPr>
          <w:p w14:paraId="4120427A"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Romania</w:t>
            </w:r>
          </w:p>
        </w:tc>
        <w:tc>
          <w:tcPr>
            <w:tcW w:w="2340" w:type="dxa"/>
            <w:vAlign w:val="center"/>
          </w:tcPr>
          <w:p w14:paraId="0DA30FA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2.3%</w:t>
            </w:r>
          </w:p>
        </w:tc>
      </w:tr>
      <w:tr w:rsidR="002C0BA6" w:rsidRPr="00DD312E" w14:paraId="0A65BE76" w14:textId="77777777" w:rsidTr="00045BDF">
        <w:trPr>
          <w:jc w:val="center"/>
        </w:trPr>
        <w:tc>
          <w:tcPr>
            <w:tcW w:w="1350" w:type="dxa"/>
            <w:vAlign w:val="center"/>
          </w:tcPr>
          <w:p w14:paraId="5657DA5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France</w:t>
            </w:r>
          </w:p>
        </w:tc>
        <w:tc>
          <w:tcPr>
            <w:tcW w:w="1710" w:type="dxa"/>
            <w:vAlign w:val="center"/>
          </w:tcPr>
          <w:p w14:paraId="035F7E8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17.9%</w:t>
            </w:r>
          </w:p>
        </w:tc>
        <w:tc>
          <w:tcPr>
            <w:tcW w:w="1800" w:type="dxa"/>
            <w:vAlign w:val="center"/>
          </w:tcPr>
          <w:p w14:paraId="01864C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Slovakia</w:t>
            </w:r>
          </w:p>
        </w:tc>
        <w:tc>
          <w:tcPr>
            <w:tcW w:w="2340" w:type="dxa"/>
            <w:vAlign w:val="center"/>
          </w:tcPr>
          <w:p w14:paraId="18337D9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4.8%</w:t>
            </w:r>
          </w:p>
        </w:tc>
      </w:tr>
      <w:tr w:rsidR="002C0BA6" w:rsidRPr="00DD312E" w14:paraId="67F1CC3F" w14:textId="77777777" w:rsidTr="00045BDF">
        <w:trPr>
          <w:jc w:val="center"/>
        </w:trPr>
        <w:tc>
          <w:tcPr>
            <w:tcW w:w="1350" w:type="dxa"/>
            <w:vAlign w:val="center"/>
          </w:tcPr>
          <w:p w14:paraId="7C48611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Germany</w:t>
            </w:r>
          </w:p>
        </w:tc>
        <w:tc>
          <w:tcPr>
            <w:tcW w:w="1710" w:type="dxa"/>
            <w:vAlign w:val="center"/>
          </w:tcPr>
          <w:p w14:paraId="7FC2661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11.0%</w:t>
            </w:r>
          </w:p>
        </w:tc>
        <w:tc>
          <w:tcPr>
            <w:tcW w:w="1800" w:type="dxa"/>
            <w:vAlign w:val="center"/>
          </w:tcPr>
          <w:p w14:paraId="5FD4878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Slovenia</w:t>
            </w:r>
          </w:p>
        </w:tc>
        <w:tc>
          <w:tcPr>
            <w:tcW w:w="2340" w:type="dxa"/>
            <w:vAlign w:val="center"/>
          </w:tcPr>
          <w:p w14:paraId="776139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8.2%</w:t>
            </w:r>
          </w:p>
        </w:tc>
      </w:tr>
      <w:tr w:rsidR="002C0BA6" w:rsidRPr="00DD312E" w14:paraId="4D778A62" w14:textId="77777777" w:rsidTr="00045BDF">
        <w:trPr>
          <w:jc w:val="center"/>
        </w:trPr>
        <w:tc>
          <w:tcPr>
            <w:tcW w:w="1350" w:type="dxa"/>
            <w:vAlign w:val="center"/>
          </w:tcPr>
          <w:p w14:paraId="423587F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Greece</w:t>
            </w:r>
          </w:p>
        </w:tc>
        <w:tc>
          <w:tcPr>
            <w:tcW w:w="1710" w:type="dxa"/>
            <w:vAlign w:val="center"/>
          </w:tcPr>
          <w:p w14:paraId="1AAF05D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c>
          <w:tcPr>
            <w:tcW w:w="1800" w:type="dxa"/>
            <w:vAlign w:val="center"/>
          </w:tcPr>
          <w:p w14:paraId="477F2E5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Spain</w:t>
            </w:r>
          </w:p>
        </w:tc>
        <w:tc>
          <w:tcPr>
            <w:tcW w:w="2340" w:type="dxa"/>
            <w:vAlign w:val="center"/>
          </w:tcPr>
          <w:p w14:paraId="7522A74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8.7%</w:t>
            </w:r>
          </w:p>
        </w:tc>
      </w:tr>
      <w:tr w:rsidR="002C0BA6" w:rsidRPr="00DD312E" w14:paraId="2B123BBB" w14:textId="77777777" w:rsidTr="00045BDF">
        <w:trPr>
          <w:jc w:val="center"/>
        </w:trPr>
        <w:tc>
          <w:tcPr>
            <w:tcW w:w="1350" w:type="dxa"/>
            <w:vAlign w:val="center"/>
          </w:tcPr>
          <w:p w14:paraId="7E04B1BB"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Hungary</w:t>
            </w:r>
          </w:p>
        </w:tc>
        <w:tc>
          <w:tcPr>
            <w:tcW w:w="1710" w:type="dxa"/>
            <w:vAlign w:val="center"/>
          </w:tcPr>
          <w:p w14:paraId="152354D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5.9%</w:t>
            </w:r>
          </w:p>
        </w:tc>
        <w:tc>
          <w:tcPr>
            <w:tcW w:w="1800" w:type="dxa"/>
            <w:vAlign w:val="center"/>
          </w:tcPr>
          <w:p w14:paraId="077B5491"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Sweden</w:t>
            </w:r>
          </w:p>
        </w:tc>
        <w:tc>
          <w:tcPr>
            <w:tcW w:w="2340" w:type="dxa"/>
            <w:vAlign w:val="center"/>
          </w:tcPr>
          <w:p w14:paraId="2167ED95"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7.1%</w:t>
            </w:r>
          </w:p>
        </w:tc>
      </w:tr>
      <w:tr w:rsidR="002C0BA6" w:rsidRPr="00DD312E" w14:paraId="6050FE85" w14:textId="77777777" w:rsidTr="00045BDF">
        <w:trPr>
          <w:jc w:val="center"/>
        </w:trPr>
        <w:tc>
          <w:tcPr>
            <w:tcW w:w="1350" w:type="dxa"/>
            <w:tcBorders>
              <w:bottom w:val="single" w:sz="4" w:space="0" w:color="auto"/>
            </w:tcBorders>
            <w:vAlign w:val="center"/>
          </w:tcPr>
          <w:p w14:paraId="758A3D29"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Ireland</w:t>
            </w:r>
          </w:p>
        </w:tc>
        <w:tc>
          <w:tcPr>
            <w:tcW w:w="1710" w:type="dxa"/>
            <w:tcBorders>
              <w:bottom w:val="single" w:sz="4" w:space="0" w:color="auto"/>
            </w:tcBorders>
            <w:vAlign w:val="center"/>
          </w:tcPr>
          <w:p w14:paraId="535951F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1.8%</w:t>
            </w:r>
          </w:p>
        </w:tc>
        <w:tc>
          <w:tcPr>
            <w:tcW w:w="1800" w:type="dxa"/>
            <w:tcBorders>
              <w:bottom w:val="single" w:sz="4" w:space="0" w:color="auto"/>
            </w:tcBorders>
            <w:vAlign w:val="center"/>
          </w:tcPr>
          <w:p w14:paraId="24AB601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United Kingdom</w:t>
            </w:r>
          </w:p>
        </w:tc>
        <w:tc>
          <w:tcPr>
            <w:tcW w:w="2340" w:type="dxa"/>
            <w:tcBorders>
              <w:bottom w:val="single" w:sz="4" w:space="0" w:color="auto"/>
            </w:tcBorders>
            <w:vAlign w:val="center"/>
          </w:tcPr>
          <w:p w14:paraId="5D92B5B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16.1%</w:t>
            </w:r>
          </w:p>
        </w:tc>
      </w:tr>
    </w:tbl>
    <w:p w14:paraId="1E412F80" w14:textId="77777777" w:rsidR="002C0BA6" w:rsidRPr="00DD312E" w:rsidRDefault="002C0BA6" w:rsidP="00794BB0">
      <w:pPr>
        <w:spacing w:after="100" w:afterAutospacing="1" w:line="240" w:lineRule="auto"/>
        <w:jc w:val="both"/>
        <w:rPr>
          <w:rFonts w:ascii="Times New Roman" w:hAnsi="Times New Roman" w:cs="Times New Roman"/>
        </w:rPr>
      </w:pPr>
    </w:p>
    <w:p w14:paraId="45C80CA7" w14:textId="77777777" w:rsidR="00794BB0" w:rsidRPr="00160569" w:rsidRDefault="00794BB0" w:rsidP="00996B74">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tried to</w:t>
      </w:r>
      <w:r w:rsidRPr="00160569">
        <w:rPr>
          <w:rFonts w:ascii="Times New Roman" w:hAnsi="Times New Roman" w:cs="Times New Roman"/>
          <w:sz w:val="24"/>
          <w:szCs w:val="24"/>
          <w:lang w:val="en-GB"/>
        </w:rPr>
        <w:t xml:space="preserve"> identify the main socio-economic determinants of inter-country differences in materials recycling and circularity rates. In particular, the empirical findings </w:t>
      </w:r>
      <w:r>
        <w:rPr>
          <w:rFonts w:ascii="Times New Roman" w:hAnsi="Times New Roman" w:cs="Times New Roman"/>
          <w:sz w:val="24"/>
          <w:szCs w:val="24"/>
          <w:lang w:val="en-GB"/>
        </w:rPr>
        <w:t xml:space="preserve">indicate that </w:t>
      </w:r>
      <w:r w:rsidRPr="00160569">
        <w:rPr>
          <w:rFonts w:ascii="Times New Roman" w:hAnsi="Times New Roman" w:cs="Times New Roman"/>
          <w:sz w:val="24"/>
          <w:szCs w:val="24"/>
          <w:lang w:val="en-GB"/>
        </w:rPr>
        <w:t xml:space="preserve">GDP per capita has a positive impact on both materials recycling and circularity rates within Europe indicating that richer economies, as expected, seem to take more actions towards recycling and circularity. Fertility rate has a positive impact on recycling and circularity rate. Higher fertility rate indicates more people in the young cohort who might be more likely to carry our pro-environmental </w:t>
      </w:r>
      <w:proofErr w:type="spellStart"/>
      <w:r w:rsidRPr="00160569">
        <w:rPr>
          <w:rFonts w:ascii="Times New Roman" w:hAnsi="Times New Roman" w:cs="Times New Roman"/>
          <w:sz w:val="24"/>
          <w:szCs w:val="24"/>
          <w:lang w:val="en-GB"/>
        </w:rPr>
        <w:t>behavior</w:t>
      </w:r>
      <w:proofErr w:type="spellEnd"/>
      <w:r w:rsidRPr="00160569">
        <w:rPr>
          <w:rFonts w:ascii="Times New Roman" w:hAnsi="Times New Roman" w:cs="Times New Roman"/>
          <w:sz w:val="24"/>
          <w:szCs w:val="24"/>
          <w:lang w:val="en-GB"/>
        </w:rPr>
        <w:t>. The impact of education is also positive to recycling indicating that countries with higher educated people ratios tend to recycle more. On the contrary, the level of research and development expenditures is focused on industry and so they matter for materials circulating. R&amp;D programs are essential for the advanced necessary technology of waste and wastewater management, since without scientific research and development several environmental issues may arise.</w:t>
      </w:r>
      <w:r>
        <w:rPr>
          <w:rFonts w:ascii="Times New Roman" w:hAnsi="Times New Roman" w:cs="Times New Roman"/>
          <w:sz w:val="24"/>
          <w:szCs w:val="24"/>
          <w:lang w:val="en-GB"/>
        </w:rPr>
        <w:t xml:space="preserve"> </w:t>
      </w:r>
      <w:r w:rsidRPr="00160569">
        <w:rPr>
          <w:rFonts w:ascii="Times New Roman" w:hAnsi="Times New Roman" w:cs="Times New Roman"/>
          <w:sz w:val="24"/>
          <w:szCs w:val="24"/>
          <w:lang w:val="en-GB"/>
        </w:rPr>
        <w:t xml:space="preserve">Environmental taxes, even if become a much-debated issue in environmental </w:t>
      </w:r>
      <w:r w:rsidRPr="00160569">
        <w:rPr>
          <w:rFonts w:ascii="Times New Roman" w:hAnsi="Times New Roman" w:cs="Times New Roman"/>
          <w:sz w:val="24"/>
          <w:szCs w:val="24"/>
          <w:lang w:val="en-GB"/>
        </w:rPr>
        <w:lastRenderedPageBreak/>
        <w:t xml:space="preserve">policy, seem to significantly matter in the level of materials recycling and circularity. Finally, urbanization process is used as a proxy of the level of materials' recycling and circulating. </w:t>
      </w:r>
    </w:p>
    <w:p w14:paraId="1EB9548F" w14:textId="2A8D9550" w:rsidR="00B14A30" w:rsidRDefault="00B14A30" w:rsidP="00B36C8B">
      <w:pPr>
        <w:spacing w:before="100" w:beforeAutospacing="1" w:after="100" w:afterAutospacing="1" w:line="360" w:lineRule="auto"/>
        <w:jc w:val="both"/>
        <w:rPr>
          <w:rFonts w:ascii="Times New Roman" w:hAnsi="Times New Roman" w:cs="Times New Roman"/>
          <w:b/>
          <w:bCs/>
          <w:color w:val="FF0000"/>
          <w:sz w:val="24"/>
          <w:szCs w:val="24"/>
          <w:lang w:val="en-GB"/>
        </w:rPr>
      </w:pPr>
      <w:bookmarkStart w:id="0" w:name="_GoBack"/>
      <w:bookmarkEnd w:id="0"/>
      <w:r w:rsidRPr="00C07C76">
        <w:rPr>
          <w:rFonts w:ascii="Times New Roman" w:hAnsi="Times New Roman" w:cs="Times New Roman"/>
          <w:b/>
          <w:bCs/>
          <w:color w:val="FF0000"/>
          <w:sz w:val="24"/>
          <w:szCs w:val="24"/>
          <w:lang w:val="en-GB"/>
        </w:rPr>
        <w:t xml:space="preserve">You may </w:t>
      </w:r>
      <w:r w:rsidR="009A1E1A">
        <w:rPr>
          <w:rFonts w:ascii="Times New Roman" w:hAnsi="Times New Roman" w:cs="Times New Roman"/>
          <w:b/>
          <w:bCs/>
          <w:color w:val="FF0000"/>
          <w:sz w:val="24"/>
          <w:szCs w:val="24"/>
          <w:lang w:val="en-GB"/>
        </w:rPr>
        <w:t>use</w:t>
      </w:r>
      <w:r w:rsidRPr="00C07C76">
        <w:rPr>
          <w:rFonts w:ascii="Times New Roman" w:hAnsi="Times New Roman" w:cs="Times New Roman"/>
          <w:b/>
          <w:bCs/>
          <w:color w:val="FF0000"/>
          <w:sz w:val="24"/>
          <w:szCs w:val="24"/>
          <w:lang w:val="en-GB"/>
        </w:rPr>
        <w:t xml:space="preserve"> up to a maximum of </w:t>
      </w:r>
      <w:r w:rsidR="00FB6BC0">
        <w:rPr>
          <w:rFonts w:ascii="Times New Roman" w:hAnsi="Times New Roman" w:cs="Times New Roman"/>
          <w:b/>
          <w:bCs/>
          <w:color w:val="FF0000"/>
          <w:sz w:val="24"/>
          <w:szCs w:val="24"/>
          <w:lang w:val="en-GB"/>
        </w:rPr>
        <w:t>2</w:t>
      </w:r>
      <w:r w:rsidR="00C07C76" w:rsidRPr="00C07C76">
        <w:rPr>
          <w:rFonts w:ascii="Times New Roman" w:hAnsi="Times New Roman" w:cs="Times New Roman"/>
          <w:b/>
          <w:bCs/>
          <w:color w:val="FF0000"/>
          <w:sz w:val="24"/>
          <w:szCs w:val="24"/>
          <w:lang w:val="en-GB"/>
        </w:rPr>
        <w:t xml:space="preserve"> </w:t>
      </w:r>
      <w:r w:rsidRPr="00C07C76">
        <w:rPr>
          <w:rFonts w:ascii="Times New Roman" w:hAnsi="Times New Roman" w:cs="Times New Roman"/>
          <w:b/>
          <w:bCs/>
          <w:color w:val="FF0000"/>
          <w:sz w:val="24"/>
          <w:szCs w:val="24"/>
          <w:lang w:val="en-GB"/>
        </w:rPr>
        <w:t>pages</w:t>
      </w:r>
      <w:r w:rsidR="00634CF6">
        <w:rPr>
          <w:rFonts w:ascii="Times New Roman" w:hAnsi="Times New Roman" w:cs="Times New Roman"/>
          <w:b/>
          <w:bCs/>
          <w:color w:val="FF0000"/>
          <w:sz w:val="24"/>
          <w:szCs w:val="24"/>
          <w:lang w:val="en-GB"/>
        </w:rPr>
        <w:t xml:space="preserve"> (not less than 1</w:t>
      </w:r>
      <w:r w:rsidR="000C4122">
        <w:rPr>
          <w:rFonts w:ascii="Times New Roman" w:hAnsi="Times New Roman" w:cs="Times New Roman"/>
          <w:b/>
          <w:bCs/>
          <w:color w:val="FF0000"/>
          <w:sz w:val="24"/>
          <w:szCs w:val="24"/>
          <w:lang w:val="en-GB"/>
        </w:rPr>
        <w:t>.</w:t>
      </w:r>
      <w:r w:rsidR="00634CF6">
        <w:rPr>
          <w:rFonts w:ascii="Times New Roman" w:hAnsi="Times New Roman" w:cs="Times New Roman"/>
          <w:b/>
          <w:bCs/>
          <w:color w:val="FF0000"/>
          <w:sz w:val="24"/>
          <w:szCs w:val="24"/>
          <w:lang w:val="en-GB"/>
        </w:rPr>
        <w:t>5 pages)</w:t>
      </w:r>
      <w:r w:rsidRPr="00C07C76">
        <w:rPr>
          <w:rFonts w:ascii="Times New Roman" w:hAnsi="Times New Roman" w:cs="Times New Roman"/>
          <w:b/>
          <w:bCs/>
          <w:color w:val="FF0000"/>
          <w:sz w:val="24"/>
          <w:szCs w:val="24"/>
          <w:lang w:val="en-GB"/>
        </w:rPr>
        <w:t xml:space="preserve"> </w:t>
      </w:r>
      <w:r w:rsidR="00FB6BC0">
        <w:rPr>
          <w:rFonts w:ascii="Times New Roman" w:hAnsi="Times New Roman" w:cs="Times New Roman"/>
          <w:b/>
          <w:bCs/>
          <w:color w:val="FF0000"/>
          <w:sz w:val="24"/>
          <w:szCs w:val="24"/>
          <w:lang w:val="en-GB"/>
        </w:rPr>
        <w:t>including figures and tables.</w:t>
      </w:r>
    </w:p>
    <w:p w14:paraId="5A65997B" w14:textId="26B00BF7" w:rsidR="000C4122" w:rsidRPr="000C4122" w:rsidRDefault="000C4122" w:rsidP="000C4122">
      <w:pPr>
        <w:tabs>
          <w:tab w:val="left" w:pos="-1440"/>
          <w:tab w:val="left" w:pos="-720"/>
        </w:tabs>
        <w:suppressAutoHyphens/>
        <w:spacing w:before="240" w:after="120" w:line="240" w:lineRule="auto"/>
        <w:jc w:val="both"/>
        <w:rPr>
          <w:rFonts w:ascii="Times New Roman" w:hAnsi="Times New Roman" w:cs="Times New Roman"/>
          <w:b/>
          <w:bCs/>
          <w:spacing w:val="-2"/>
          <w:lang w:val="en-GB"/>
        </w:rPr>
      </w:pPr>
      <w:r w:rsidRPr="000C4122">
        <w:rPr>
          <w:rFonts w:ascii="Times New Roman" w:hAnsi="Times New Roman" w:cs="Times New Roman"/>
          <w:b/>
          <w:bCs/>
          <w:spacing w:val="-2"/>
          <w:lang w:val="en-GB"/>
        </w:rPr>
        <w:t>References</w:t>
      </w:r>
      <w:r>
        <w:rPr>
          <w:rFonts w:ascii="Times New Roman" w:hAnsi="Times New Roman" w:cs="Times New Roman"/>
          <w:b/>
          <w:bCs/>
          <w:spacing w:val="-2"/>
          <w:lang w:val="en-GB"/>
        </w:rPr>
        <w:t xml:space="preserve"> (</w:t>
      </w:r>
      <w:r w:rsidRPr="000C4122">
        <w:rPr>
          <w:rFonts w:ascii="Times New Roman" w:hAnsi="Times New Roman" w:cs="Times New Roman"/>
          <w:b/>
          <w:bCs/>
          <w:color w:val="FF0000"/>
          <w:spacing w:val="-2"/>
          <w:lang w:val="en-GB"/>
        </w:rPr>
        <w:t>optional field</w:t>
      </w:r>
      <w:r>
        <w:rPr>
          <w:rFonts w:ascii="Times New Roman" w:hAnsi="Times New Roman" w:cs="Times New Roman"/>
          <w:b/>
          <w:bCs/>
          <w:spacing w:val="-2"/>
          <w:lang w:val="en-GB"/>
        </w:rPr>
        <w:t>)</w:t>
      </w:r>
    </w:p>
    <w:sectPr w:rsidR="000C4122" w:rsidRPr="000C4122" w:rsidSect="008B2FF4">
      <w:headerReference w:type="default"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D132" w14:textId="77777777" w:rsidR="00CB390A" w:rsidRDefault="00CB390A" w:rsidP="00DB3BF1">
      <w:pPr>
        <w:spacing w:after="0" w:line="240" w:lineRule="auto"/>
      </w:pPr>
      <w:r>
        <w:separator/>
      </w:r>
    </w:p>
  </w:endnote>
  <w:endnote w:type="continuationSeparator" w:id="0">
    <w:p w14:paraId="52A6D32E" w14:textId="77777777" w:rsidR="00CB390A" w:rsidRDefault="00CB390A" w:rsidP="00DB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604020202020204"/>
    <w:charset w:val="A1"/>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931195"/>
      <w:docPartObj>
        <w:docPartGallery w:val="Page Numbers (Bottom of Page)"/>
        <w:docPartUnique/>
      </w:docPartObj>
    </w:sdtPr>
    <w:sdtEndPr>
      <w:rPr>
        <w:noProof/>
      </w:rPr>
    </w:sdtEndPr>
    <w:sdtContent>
      <w:p w14:paraId="0C9868CA" w14:textId="1EB86F17" w:rsidR="006361C7" w:rsidRDefault="00722030">
        <w:pPr>
          <w:pStyle w:val="aa"/>
          <w:jc w:val="center"/>
        </w:pPr>
        <w:r>
          <w:fldChar w:fldCharType="begin"/>
        </w:r>
        <w:r w:rsidR="006361C7">
          <w:instrText xml:space="preserve"> PAGE   \* MERGEFORMAT </w:instrText>
        </w:r>
        <w:r>
          <w:fldChar w:fldCharType="separate"/>
        </w:r>
        <w:r w:rsidR="00110D00">
          <w:rPr>
            <w:noProof/>
          </w:rPr>
          <w:t>2</w:t>
        </w:r>
        <w:r>
          <w:rPr>
            <w:noProof/>
          </w:rPr>
          <w:fldChar w:fldCharType="end"/>
        </w:r>
      </w:p>
    </w:sdtContent>
  </w:sdt>
  <w:p w14:paraId="4DF8BE9C" w14:textId="77777777" w:rsidR="006361C7" w:rsidRDefault="006361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7473" w14:textId="77777777" w:rsidR="00CB390A" w:rsidRDefault="00CB390A" w:rsidP="00DB3BF1">
      <w:pPr>
        <w:spacing w:after="0" w:line="240" w:lineRule="auto"/>
      </w:pPr>
      <w:r>
        <w:separator/>
      </w:r>
    </w:p>
  </w:footnote>
  <w:footnote w:type="continuationSeparator" w:id="0">
    <w:p w14:paraId="2859EC67" w14:textId="77777777" w:rsidR="00CB390A" w:rsidRDefault="00CB390A" w:rsidP="00DB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7456" w14:textId="772018CE" w:rsidR="002E5A15" w:rsidRDefault="000B308D" w:rsidP="002E5A15">
    <w:pPr>
      <w:pStyle w:val="a8"/>
      <w:jc w:val="center"/>
      <w:rPr>
        <w:rFonts w:ascii="Georgia" w:hAnsi="Georgia"/>
        <w:b/>
        <w:bCs/>
        <w:sz w:val="20"/>
        <w:szCs w:val="20"/>
      </w:rPr>
    </w:pPr>
    <w:r>
      <w:rPr>
        <w:rFonts w:ascii="Georgia" w:hAnsi="Georgia"/>
        <w:b/>
        <w:bCs/>
        <w:sz w:val="20"/>
        <w:szCs w:val="20"/>
      </w:rPr>
      <w:t>IWA Particle Separation Conference 2026</w:t>
    </w:r>
  </w:p>
  <w:p w14:paraId="36304266" w14:textId="16FE293E" w:rsidR="00C07C76" w:rsidRPr="002E5A15" w:rsidRDefault="000B308D" w:rsidP="002E5A15">
    <w:pPr>
      <w:pStyle w:val="a8"/>
      <w:jc w:val="center"/>
      <w:rPr>
        <w:rFonts w:ascii="Georgia" w:hAnsi="Georgia"/>
        <w:b/>
        <w:bCs/>
        <w:sz w:val="20"/>
        <w:szCs w:val="20"/>
      </w:rPr>
    </w:pPr>
    <w:r>
      <w:rPr>
        <w:rFonts w:ascii="Georgia" w:hAnsi="Georgia"/>
        <w:b/>
        <w:bCs/>
        <w:sz w:val="20"/>
        <w:szCs w:val="20"/>
      </w:rPr>
      <w:t>Sapporo</w:t>
    </w:r>
    <w:r w:rsidR="002E5A15" w:rsidRPr="002E5A15">
      <w:rPr>
        <w:rFonts w:ascii="Georgia" w:hAnsi="Georgia"/>
        <w:b/>
        <w:bCs/>
        <w:sz w:val="20"/>
        <w:szCs w:val="20"/>
      </w:rPr>
      <w:t xml:space="preserve">, </w:t>
    </w:r>
    <w:r>
      <w:rPr>
        <w:rFonts w:ascii="Georgia" w:hAnsi="Georgia"/>
        <w:b/>
        <w:bCs/>
        <w:sz w:val="20"/>
        <w:szCs w:val="20"/>
      </w:rPr>
      <w:t>Japan</w:t>
    </w:r>
    <w:r w:rsidR="002E5A15" w:rsidRPr="002E5A15">
      <w:rPr>
        <w:rFonts w:ascii="Georgia" w:hAnsi="Georgia"/>
        <w:b/>
        <w:bCs/>
        <w:sz w:val="20"/>
        <w:szCs w:val="20"/>
      </w:rPr>
      <w:t xml:space="preserve">, </w:t>
    </w:r>
    <w:r>
      <w:rPr>
        <w:rFonts w:ascii="Georgia" w:hAnsi="Georgia"/>
        <w:b/>
        <w:bCs/>
        <w:sz w:val="20"/>
        <w:szCs w:val="20"/>
      </w:rPr>
      <w:t>21</w:t>
    </w:r>
    <w:r w:rsidR="002E5A15" w:rsidRPr="002E5A15">
      <w:rPr>
        <w:rFonts w:ascii="Georgia" w:hAnsi="Georgia"/>
        <w:b/>
        <w:bCs/>
        <w:sz w:val="20"/>
        <w:szCs w:val="20"/>
      </w:rPr>
      <w:t>-</w:t>
    </w:r>
    <w:r>
      <w:rPr>
        <w:rFonts w:ascii="Georgia" w:hAnsi="Georgia"/>
        <w:b/>
        <w:bCs/>
        <w:sz w:val="20"/>
        <w:szCs w:val="20"/>
      </w:rPr>
      <w:t>24</w:t>
    </w:r>
    <w:r w:rsidR="002E5A15" w:rsidRPr="002E5A15">
      <w:rPr>
        <w:rFonts w:ascii="Georgia" w:hAnsi="Georgia"/>
        <w:b/>
        <w:bCs/>
        <w:sz w:val="20"/>
        <w:szCs w:val="20"/>
      </w:rPr>
      <w:t xml:space="preserve"> </w:t>
    </w:r>
    <w:r>
      <w:rPr>
        <w:rFonts w:ascii="Georgia" w:hAnsi="Georgia"/>
        <w:b/>
        <w:bCs/>
        <w:sz w:val="20"/>
        <w:szCs w:val="20"/>
      </w:rPr>
      <w:t>June</w:t>
    </w:r>
    <w:r w:rsidR="002E5A15" w:rsidRPr="002E5A15">
      <w:rPr>
        <w:rFonts w:ascii="Georgia" w:hAnsi="Georgia"/>
        <w:b/>
        <w:bCs/>
        <w:sz w:val="20"/>
        <w:szCs w:val="20"/>
      </w:rPr>
      <w:t>, 202</w:t>
    </w:r>
    <w:r>
      <w:rPr>
        <w:rFonts w:ascii="Georgia" w:hAnsi="Georgia"/>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B1556"/>
    <w:multiLevelType w:val="multilevel"/>
    <w:tmpl w:val="5A74A7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8F3AA3"/>
    <w:multiLevelType w:val="hybridMultilevel"/>
    <w:tmpl w:val="6CB4C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231F92"/>
    <w:multiLevelType w:val="hybridMultilevel"/>
    <w:tmpl w:val="287A1860"/>
    <w:lvl w:ilvl="0" w:tplc="B9C435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81F92"/>
    <w:multiLevelType w:val="hybridMultilevel"/>
    <w:tmpl w:val="9B7C941E"/>
    <w:lvl w:ilvl="0" w:tplc="29340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655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4D"/>
    <w:rsid w:val="00022D78"/>
    <w:rsid w:val="000577B2"/>
    <w:rsid w:val="000A54F6"/>
    <w:rsid w:val="000B308D"/>
    <w:rsid w:val="000C4122"/>
    <w:rsid w:val="00110D00"/>
    <w:rsid w:val="001320EF"/>
    <w:rsid w:val="00160569"/>
    <w:rsid w:val="00164369"/>
    <w:rsid w:val="001723B9"/>
    <w:rsid w:val="001823E4"/>
    <w:rsid w:val="001F3D40"/>
    <w:rsid w:val="00207761"/>
    <w:rsid w:val="00252839"/>
    <w:rsid w:val="002C0BA6"/>
    <w:rsid w:val="002E5A15"/>
    <w:rsid w:val="002E5C5D"/>
    <w:rsid w:val="00345381"/>
    <w:rsid w:val="00352785"/>
    <w:rsid w:val="00474583"/>
    <w:rsid w:val="00495388"/>
    <w:rsid w:val="004D6F0F"/>
    <w:rsid w:val="005F176F"/>
    <w:rsid w:val="00634CF6"/>
    <w:rsid w:val="006361C7"/>
    <w:rsid w:val="00701ACE"/>
    <w:rsid w:val="00722030"/>
    <w:rsid w:val="0072708A"/>
    <w:rsid w:val="00794BB0"/>
    <w:rsid w:val="007E0FFA"/>
    <w:rsid w:val="007F2D82"/>
    <w:rsid w:val="0080643E"/>
    <w:rsid w:val="0081321E"/>
    <w:rsid w:val="008403FF"/>
    <w:rsid w:val="008A4BED"/>
    <w:rsid w:val="008B2FF4"/>
    <w:rsid w:val="008C76FD"/>
    <w:rsid w:val="008F7317"/>
    <w:rsid w:val="009005F0"/>
    <w:rsid w:val="00996B74"/>
    <w:rsid w:val="009A1E1A"/>
    <w:rsid w:val="00A377FC"/>
    <w:rsid w:val="00A52DF3"/>
    <w:rsid w:val="00A739DC"/>
    <w:rsid w:val="00AA0A50"/>
    <w:rsid w:val="00AA3868"/>
    <w:rsid w:val="00AB092E"/>
    <w:rsid w:val="00AE2179"/>
    <w:rsid w:val="00B14A30"/>
    <w:rsid w:val="00B235E6"/>
    <w:rsid w:val="00B36C8B"/>
    <w:rsid w:val="00B52BA8"/>
    <w:rsid w:val="00C07C76"/>
    <w:rsid w:val="00C30E3B"/>
    <w:rsid w:val="00CA0C4F"/>
    <w:rsid w:val="00CB390A"/>
    <w:rsid w:val="00DB3BF1"/>
    <w:rsid w:val="00DD312E"/>
    <w:rsid w:val="00E16BFD"/>
    <w:rsid w:val="00F218D8"/>
    <w:rsid w:val="00F65C2D"/>
    <w:rsid w:val="00F86ABA"/>
    <w:rsid w:val="00F9229D"/>
    <w:rsid w:val="00F9445F"/>
    <w:rsid w:val="00F94F4D"/>
    <w:rsid w:val="00FB6BC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90963"/>
  <w15:docId w15:val="{E4A69947-ED21-45FD-8FAD-06F9566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56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F4D"/>
    <w:pPr>
      <w:spacing w:after="0" w:line="240" w:lineRule="auto"/>
    </w:pPr>
    <w:rPr>
      <w:rFonts w:ascii="Segoe UI" w:eastAsiaTheme="minorHAnsi" w:hAnsi="Segoe UI" w:cs="Segoe UI"/>
      <w:sz w:val="18"/>
      <w:szCs w:val="18"/>
    </w:rPr>
  </w:style>
  <w:style w:type="character" w:customStyle="1" w:styleId="a4">
    <w:name w:val="吹き出し (文字)"/>
    <w:basedOn w:val="a0"/>
    <w:link w:val="a3"/>
    <w:uiPriority w:val="99"/>
    <w:semiHidden/>
    <w:rsid w:val="00F94F4D"/>
    <w:rPr>
      <w:rFonts w:ascii="Segoe UI" w:hAnsi="Segoe UI" w:cs="Segoe UI"/>
      <w:sz w:val="18"/>
      <w:szCs w:val="18"/>
    </w:rPr>
  </w:style>
  <w:style w:type="paragraph" w:styleId="a5">
    <w:name w:val="footnote text"/>
    <w:basedOn w:val="a"/>
    <w:link w:val="a6"/>
    <w:semiHidden/>
    <w:rsid w:val="00F94F4D"/>
    <w:pPr>
      <w:spacing w:after="0" w:line="240" w:lineRule="auto"/>
    </w:pPr>
    <w:rPr>
      <w:sz w:val="20"/>
      <w:szCs w:val="20"/>
    </w:rPr>
  </w:style>
  <w:style w:type="character" w:customStyle="1" w:styleId="a6">
    <w:name w:val="脚注文字列 (文字)"/>
    <w:basedOn w:val="a0"/>
    <w:link w:val="a5"/>
    <w:semiHidden/>
    <w:rsid w:val="00F94F4D"/>
    <w:rPr>
      <w:rFonts w:ascii="Calibri" w:eastAsia="Calibri" w:hAnsi="Calibri" w:cs="Calibri"/>
      <w:sz w:val="20"/>
      <w:szCs w:val="20"/>
    </w:rPr>
  </w:style>
  <w:style w:type="character" w:styleId="a7">
    <w:name w:val="Hyperlink"/>
    <w:basedOn w:val="a0"/>
    <w:uiPriority w:val="99"/>
    <w:rsid w:val="00F94F4D"/>
    <w:rPr>
      <w:color w:val="0000FF"/>
      <w:u w:val="single"/>
    </w:rPr>
  </w:style>
  <w:style w:type="paragraph" w:styleId="a8">
    <w:name w:val="header"/>
    <w:basedOn w:val="a"/>
    <w:link w:val="a9"/>
    <w:uiPriority w:val="99"/>
    <w:unhideWhenUsed/>
    <w:rsid w:val="00DB3BF1"/>
    <w:pPr>
      <w:tabs>
        <w:tab w:val="center" w:pos="4320"/>
        <w:tab w:val="right" w:pos="8640"/>
      </w:tabs>
      <w:spacing w:after="0" w:line="240" w:lineRule="auto"/>
    </w:pPr>
  </w:style>
  <w:style w:type="character" w:customStyle="1" w:styleId="a9">
    <w:name w:val="ヘッダー (文字)"/>
    <w:basedOn w:val="a0"/>
    <w:link w:val="a8"/>
    <w:uiPriority w:val="99"/>
    <w:rsid w:val="00DB3BF1"/>
    <w:rPr>
      <w:rFonts w:ascii="Calibri" w:eastAsia="Calibri" w:hAnsi="Calibri" w:cs="Calibri"/>
    </w:rPr>
  </w:style>
  <w:style w:type="paragraph" w:styleId="aa">
    <w:name w:val="footer"/>
    <w:basedOn w:val="a"/>
    <w:link w:val="ab"/>
    <w:uiPriority w:val="99"/>
    <w:unhideWhenUsed/>
    <w:rsid w:val="00DB3BF1"/>
    <w:pPr>
      <w:tabs>
        <w:tab w:val="center" w:pos="4320"/>
        <w:tab w:val="right" w:pos="8640"/>
      </w:tabs>
      <w:spacing w:after="0" w:line="240" w:lineRule="auto"/>
    </w:pPr>
  </w:style>
  <w:style w:type="character" w:customStyle="1" w:styleId="ab">
    <w:name w:val="フッター (文字)"/>
    <w:basedOn w:val="a0"/>
    <w:link w:val="aa"/>
    <w:uiPriority w:val="99"/>
    <w:rsid w:val="00DB3BF1"/>
    <w:rPr>
      <w:rFonts w:ascii="Calibri" w:eastAsia="Calibri" w:hAnsi="Calibri" w:cs="Calibri"/>
    </w:rPr>
  </w:style>
  <w:style w:type="table" w:styleId="ac">
    <w:name w:val="Table Grid"/>
    <w:basedOn w:val="a1"/>
    <w:uiPriority w:val="39"/>
    <w:rsid w:val="000577B2"/>
    <w:pPr>
      <w:spacing w:after="0" w:line="240" w:lineRule="auto"/>
    </w:pPr>
    <w:rPr>
      <w:rFonts w:ascii="Calibri" w:eastAsia="Calibri" w:hAnsi="Calibri" w:cs="Calibri"/>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D6F0F"/>
    <w:pPr>
      <w:ind w:left="720"/>
      <w:contextualSpacing/>
    </w:pPr>
  </w:style>
  <w:style w:type="paragraph" w:styleId="ae">
    <w:name w:val="Body Text"/>
    <w:aliases w:val="Τίτλος Μελέτης"/>
    <w:basedOn w:val="a"/>
    <w:link w:val="af"/>
    <w:rsid w:val="004D6F0F"/>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af">
    <w:name w:val="本文 (文字)"/>
    <w:aliases w:val="Τίτλος Μελέτης (文字)"/>
    <w:basedOn w:val="a0"/>
    <w:link w:val="ae"/>
    <w:rsid w:val="004D6F0F"/>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Kostakis</dc:creator>
  <cp:lastModifiedBy>克輝 木村</cp:lastModifiedBy>
  <cp:revision>3</cp:revision>
  <dcterms:created xsi:type="dcterms:W3CDTF">2025-04-25T06:31:00Z</dcterms:created>
  <dcterms:modified xsi:type="dcterms:W3CDTF">2025-06-11T05:50:00Z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68fcca633a42449feb20ed65f4cfed55b2c06a4e29bd260545e161bc833025da</vt:lpwstr>
  </property>
</Properties>
</file>